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19D" w:rsidRDefault="00B70DA0">
      <w:pPr>
        <w:spacing w:after="40"/>
        <w:jc w:val="center"/>
        <w:rPr>
          <w:b/>
          <w:sz w:val="28"/>
          <w:szCs w:val="28"/>
        </w:rPr>
      </w:pPr>
      <w:r>
        <w:rPr>
          <w:noProof/>
        </w:rPr>
        <w:drawing>
          <wp:anchor distT="0" distB="0" distL="114300" distR="114300" simplePos="0" relativeHeight="251658240" behindDoc="0" locked="0" layoutInCell="1" hidden="0" allowOverlap="1">
            <wp:simplePos x="0" y="0"/>
            <wp:positionH relativeFrom="column">
              <wp:posOffset>59056</wp:posOffset>
            </wp:positionH>
            <wp:positionV relativeFrom="paragraph">
              <wp:posOffset>-373904</wp:posOffset>
            </wp:positionV>
            <wp:extent cx="1264257" cy="462927"/>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264257" cy="462927"/>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8336280</wp:posOffset>
            </wp:positionH>
            <wp:positionV relativeFrom="paragraph">
              <wp:posOffset>-374318</wp:posOffset>
            </wp:positionV>
            <wp:extent cx="658495" cy="58991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58495" cy="589915"/>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4202650</wp:posOffset>
            </wp:positionH>
            <wp:positionV relativeFrom="paragraph">
              <wp:posOffset>-489694</wp:posOffset>
            </wp:positionV>
            <wp:extent cx="755291" cy="709184"/>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755291" cy="709184"/>
                    </a:xfrm>
                    <a:prstGeom prst="rect">
                      <a:avLst/>
                    </a:prstGeom>
                    <a:ln/>
                  </pic:spPr>
                </pic:pic>
              </a:graphicData>
            </a:graphic>
          </wp:anchor>
        </w:drawing>
      </w:r>
    </w:p>
    <w:p w:rsidR="004E519D" w:rsidRDefault="00B70DA0">
      <w:pPr>
        <w:spacing w:after="20" w:line="240" w:lineRule="auto"/>
        <w:jc w:val="center"/>
        <w:rPr>
          <w:b/>
          <w:sz w:val="26"/>
          <w:szCs w:val="26"/>
        </w:rPr>
      </w:pPr>
      <w:r>
        <w:rPr>
          <w:b/>
          <w:sz w:val="28"/>
          <w:szCs w:val="28"/>
        </w:rPr>
        <w:t xml:space="preserve"> APPENDIX V - </w:t>
      </w:r>
      <w:r>
        <w:rPr>
          <w:b/>
          <w:sz w:val="26"/>
          <w:szCs w:val="26"/>
        </w:rPr>
        <w:t>ELEMENTS OF HIGH-QUALITY</w:t>
      </w:r>
    </w:p>
    <w:p w:rsidR="004E519D" w:rsidRDefault="00B70DA0">
      <w:pPr>
        <w:spacing w:after="20" w:line="240" w:lineRule="auto"/>
        <w:jc w:val="center"/>
        <w:rPr>
          <w:b/>
          <w:sz w:val="26"/>
          <w:szCs w:val="26"/>
        </w:rPr>
      </w:pPr>
      <w:r>
        <w:rPr>
          <w:b/>
          <w:sz w:val="26"/>
          <w:szCs w:val="26"/>
        </w:rPr>
        <w:t>Becoming High-Quality Multi Year Grant 2023-2026</w:t>
      </w:r>
    </w:p>
    <w:tbl>
      <w:tblPr>
        <w:tblStyle w:val="a"/>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5850"/>
        <w:gridCol w:w="5580"/>
      </w:tblGrid>
      <w:tr w:rsidR="004E519D">
        <w:trPr>
          <w:trHeight w:val="1972"/>
        </w:trPr>
        <w:tc>
          <w:tcPr>
            <w:tcW w:w="14395" w:type="dxa"/>
            <w:gridSpan w:val="3"/>
            <w:shd w:val="clear" w:color="auto" w:fill="B7DDE8"/>
            <w:vAlign w:val="center"/>
          </w:tcPr>
          <w:p w:rsidR="004E519D" w:rsidRDefault="00B70DA0">
            <w:pPr>
              <w:spacing w:after="40"/>
              <w:ind w:left="245"/>
              <w:rPr>
                <w:sz w:val="24"/>
                <w:szCs w:val="24"/>
              </w:rPr>
            </w:pPr>
            <w:r>
              <w:rPr>
                <w:sz w:val="24"/>
                <w:szCs w:val="24"/>
              </w:rPr>
              <w:t>Use this form to consider each element of high-quality preschool programming and compare the current state of the preschool program. Identify areas where the program is performing well as well as where the program is not fully meeting the element. Identify areas where a program has weaknesses or deficiencies that require improvement. Based on the gaps identified, describe concrete plans to achieve goals for improvement in each area under the Plan For Improvement column. Applicants are strongly encouraged to consider that even in areas their program shows strong performance, there is frequently room for continued improvement.</w:t>
            </w:r>
          </w:p>
          <w:p w:rsidR="004E519D" w:rsidRDefault="00B70DA0">
            <w:pPr>
              <w:ind w:left="247"/>
              <w:rPr>
                <w:sz w:val="24"/>
                <w:szCs w:val="24"/>
              </w:rPr>
            </w:pPr>
            <w:r>
              <w:rPr>
                <w:i/>
                <w:sz w:val="24"/>
                <w:szCs w:val="24"/>
              </w:rPr>
              <w:t>Attachment K</w:t>
            </w:r>
            <w:r>
              <w:rPr>
                <w:sz w:val="24"/>
                <w:szCs w:val="24"/>
              </w:rPr>
              <w:t xml:space="preserve">: </w:t>
            </w:r>
            <w:r>
              <w:rPr>
                <w:i/>
                <w:sz w:val="24"/>
                <w:szCs w:val="24"/>
              </w:rPr>
              <w:t>Application Examples</w:t>
            </w:r>
            <w:r>
              <w:rPr>
                <w:sz w:val="24"/>
                <w:szCs w:val="24"/>
              </w:rPr>
              <w:t xml:space="preserve"> provides examples of this type of analysis for each element of </w:t>
            </w:r>
            <w:proofErr w:type="gramStart"/>
            <w:r>
              <w:rPr>
                <w:sz w:val="24"/>
                <w:szCs w:val="24"/>
              </w:rPr>
              <w:t>high-quality</w:t>
            </w:r>
            <w:proofErr w:type="gramEnd"/>
            <w:r>
              <w:rPr>
                <w:sz w:val="24"/>
                <w:szCs w:val="24"/>
              </w:rPr>
              <w:t>.</w:t>
            </w:r>
          </w:p>
        </w:tc>
      </w:tr>
      <w:tr w:rsidR="004E519D">
        <w:trPr>
          <w:trHeight w:val="436"/>
        </w:trPr>
        <w:tc>
          <w:tcPr>
            <w:tcW w:w="2965" w:type="dxa"/>
            <w:shd w:val="clear" w:color="auto" w:fill="DBEEF3"/>
            <w:vAlign w:val="center"/>
          </w:tcPr>
          <w:p w:rsidR="004E519D" w:rsidRDefault="00B70DA0">
            <w:pPr>
              <w:jc w:val="center"/>
              <w:rPr>
                <w:b/>
                <w:sz w:val="26"/>
                <w:szCs w:val="26"/>
              </w:rPr>
            </w:pPr>
            <w:r>
              <w:rPr>
                <w:b/>
                <w:sz w:val="26"/>
                <w:szCs w:val="26"/>
              </w:rPr>
              <w:t>Elements of High-Quality</w:t>
            </w:r>
          </w:p>
        </w:tc>
        <w:tc>
          <w:tcPr>
            <w:tcW w:w="5850" w:type="dxa"/>
            <w:shd w:val="clear" w:color="auto" w:fill="DBEEF3"/>
            <w:vAlign w:val="center"/>
          </w:tcPr>
          <w:p w:rsidR="004E519D" w:rsidRDefault="00B70DA0">
            <w:pPr>
              <w:jc w:val="center"/>
              <w:rPr>
                <w:b/>
                <w:sz w:val="26"/>
                <w:szCs w:val="26"/>
              </w:rPr>
            </w:pPr>
            <w:r>
              <w:rPr>
                <w:b/>
                <w:sz w:val="26"/>
                <w:szCs w:val="26"/>
              </w:rPr>
              <w:t>Gap Analysis</w:t>
            </w:r>
          </w:p>
        </w:tc>
        <w:tc>
          <w:tcPr>
            <w:tcW w:w="5580" w:type="dxa"/>
            <w:shd w:val="clear" w:color="auto" w:fill="DBEEF3"/>
            <w:vAlign w:val="center"/>
          </w:tcPr>
          <w:p w:rsidR="004E519D" w:rsidRDefault="00B70DA0">
            <w:pPr>
              <w:jc w:val="center"/>
              <w:rPr>
                <w:b/>
                <w:sz w:val="26"/>
                <w:szCs w:val="26"/>
              </w:rPr>
            </w:pPr>
            <w:r>
              <w:rPr>
                <w:b/>
                <w:sz w:val="26"/>
                <w:szCs w:val="26"/>
              </w:rPr>
              <w:t>Plan for Improvement</w:t>
            </w:r>
          </w:p>
        </w:tc>
      </w:tr>
      <w:tr w:rsidR="004E519D">
        <w:trPr>
          <w:trHeight w:val="3456"/>
        </w:trPr>
        <w:tc>
          <w:tcPr>
            <w:tcW w:w="2965" w:type="dxa"/>
            <w:shd w:val="clear" w:color="auto" w:fill="DBEEF3"/>
          </w:tcPr>
          <w:p w:rsidR="004E519D" w:rsidRDefault="00B70DA0">
            <w:pPr>
              <w:numPr>
                <w:ilvl w:val="0"/>
                <w:numId w:val="1"/>
              </w:numPr>
              <w:pBdr>
                <w:top w:val="nil"/>
                <w:left w:val="nil"/>
                <w:bottom w:val="nil"/>
                <w:right w:val="nil"/>
                <w:between w:val="nil"/>
              </w:pBdr>
              <w:spacing w:after="160" w:line="259" w:lineRule="auto"/>
              <w:ind w:left="337"/>
            </w:pPr>
            <w:r>
              <w:rPr>
                <w:color w:val="000000"/>
              </w:rPr>
              <w:t>Evidence-based curriculum.</w:t>
            </w:r>
          </w:p>
        </w:tc>
        <w:tc>
          <w:tcPr>
            <w:tcW w:w="5850" w:type="dxa"/>
          </w:tcPr>
          <w:p w:rsidR="004E519D" w:rsidRDefault="004E519D" w:rsidP="00C54EF0">
            <w:pPr>
              <w:pStyle w:val="NoSpacing"/>
            </w:pPr>
            <w:bookmarkStart w:id="0" w:name="_heading=h.gjdgxs" w:colFirst="0" w:colLast="0"/>
            <w:bookmarkEnd w:id="0"/>
          </w:p>
        </w:tc>
        <w:tc>
          <w:tcPr>
            <w:tcW w:w="5580" w:type="dxa"/>
          </w:tcPr>
          <w:p w:rsidR="004E519D" w:rsidRDefault="004E519D" w:rsidP="00C54EF0">
            <w:pPr>
              <w:pStyle w:val="NoSpacing"/>
            </w:pPr>
          </w:p>
        </w:tc>
      </w:tr>
      <w:tr w:rsidR="004E519D" w:rsidTr="00C54EF0">
        <w:trPr>
          <w:trHeight w:val="2960"/>
        </w:trPr>
        <w:tc>
          <w:tcPr>
            <w:tcW w:w="2965" w:type="dxa"/>
            <w:shd w:val="clear" w:color="auto" w:fill="DBEEF3"/>
          </w:tcPr>
          <w:p w:rsidR="004E519D" w:rsidRDefault="00B70DA0">
            <w:pPr>
              <w:numPr>
                <w:ilvl w:val="0"/>
                <w:numId w:val="1"/>
              </w:numPr>
              <w:pBdr>
                <w:top w:val="nil"/>
                <w:left w:val="nil"/>
                <w:bottom w:val="nil"/>
                <w:right w:val="nil"/>
                <w:between w:val="nil"/>
              </w:pBdr>
              <w:spacing w:after="160" w:line="259" w:lineRule="auto"/>
              <w:ind w:left="337"/>
            </w:pPr>
            <w:r>
              <w:rPr>
                <w:color w:val="000000"/>
              </w:rPr>
              <w:t>Intentional and differentiated instruction in whole group, small group, and child-directed learning.</w:t>
            </w:r>
          </w:p>
        </w:tc>
        <w:tc>
          <w:tcPr>
            <w:tcW w:w="5850" w:type="dxa"/>
          </w:tcPr>
          <w:p w:rsidR="004E519D" w:rsidRDefault="004E519D" w:rsidP="00C54EF0">
            <w:pPr>
              <w:pStyle w:val="NoSpacing"/>
            </w:pPr>
          </w:p>
        </w:tc>
        <w:tc>
          <w:tcPr>
            <w:tcW w:w="5580" w:type="dxa"/>
          </w:tcPr>
          <w:p w:rsidR="004E519D" w:rsidRDefault="004E519D" w:rsidP="00C54EF0">
            <w:pPr>
              <w:pStyle w:val="NoSpacing"/>
            </w:pPr>
          </w:p>
        </w:tc>
      </w:tr>
      <w:tr w:rsidR="004E519D">
        <w:trPr>
          <w:trHeight w:val="3456"/>
        </w:trPr>
        <w:tc>
          <w:tcPr>
            <w:tcW w:w="2965" w:type="dxa"/>
            <w:shd w:val="clear" w:color="auto" w:fill="DBEEF3"/>
          </w:tcPr>
          <w:p w:rsidR="004E519D" w:rsidRDefault="00B70DA0">
            <w:pPr>
              <w:numPr>
                <w:ilvl w:val="0"/>
                <w:numId w:val="1"/>
              </w:numPr>
              <w:pBdr>
                <w:top w:val="nil"/>
                <w:left w:val="nil"/>
                <w:bottom w:val="nil"/>
                <w:right w:val="nil"/>
                <w:between w:val="nil"/>
              </w:pBdr>
              <w:spacing w:after="160" w:line="259" w:lineRule="auto"/>
              <w:ind w:left="337"/>
            </w:pPr>
            <w:r>
              <w:rPr>
                <w:color w:val="000000"/>
              </w:rPr>
              <w:lastRenderedPageBreak/>
              <w:t>Explicit instruction in key areas of literacy and numeracy.</w:t>
            </w:r>
          </w:p>
        </w:tc>
        <w:tc>
          <w:tcPr>
            <w:tcW w:w="5850" w:type="dxa"/>
          </w:tcPr>
          <w:p w:rsidR="004E519D" w:rsidRDefault="004E519D" w:rsidP="00C54EF0">
            <w:pPr>
              <w:pStyle w:val="NoSpacing"/>
            </w:pPr>
          </w:p>
        </w:tc>
        <w:tc>
          <w:tcPr>
            <w:tcW w:w="5580" w:type="dxa"/>
          </w:tcPr>
          <w:p w:rsidR="004E519D" w:rsidRDefault="004E519D" w:rsidP="00C54EF0">
            <w:pPr>
              <w:pStyle w:val="NoSpacing"/>
            </w:pPr>
          </w:p>
        </w:tc>
      </w:tr>
      <w:tr w:rsidR="004E519D">
        <w:trPr>
          <w:trHeight w:val="3456"/>
        </w:trPr>
        <w:tc>
          <w:tcPr>
            <w:tcW w:w="2965" w:type="dxa"/>
            <w:shd w:val="clear" w:color="auto" w:fill="DBEEF3"/>
          </w:tcPr>
          <w:p w:rsidR="004E519D" w:rsidRDefault="00B70DA0">
            <w:pPr>
              <w:numPr>
                <w:ilvl w:val="0"/>
                <w:numId w:val="1"/>
              </w:numPr>
              <w:pBdr>
                <w:top w:val="nil"/>
                <w:left w:val="nil"/>
                <w:bottom w:val="nil"/>
                <w:right w:val="nil"/>
                <w:between w:val="nil"/>
              </w:pBdr>
              <w:spacing w:line="259" w:lineRule="auto"/>
              <w:ind w:left="337"/>
            </w:pPr>
            <w:r>
              <w:rPr>
                <w:color w:val="000000"/>
              </w:rPr>
              <w:t>Core Standard:</w:t>
            </w:r>
          </w:p>
          <w:p w:rsidR="004E519D" w:rsidRDefault="00B70DA0">
            <w:pPr>
              <w:pBdr>
                <w:top w:val="nil"/>
                <w:left w:val="nil"/>
                <w:bottom w:val="nil"/>
                <w:right w:val="nil"/>
                <w:between w:val="nil"/>
              </w:pBdr>
              <w:spacing w:after="160" w:line="259" w:lineRule="auto"/>
              <w:ind w:left="337"/>
              <w:rPr>
                <w:color w:val="000000"/>
              </w:rPr>
            </w:pPr>
            <w:r>
              <w:rPr>
                <w:color w:val="000000"/>
              </w:rPr>
              <w:t>English Language Arts</w:t>
            </w:r>
          </w:p>
        </w:tc>
        <w:tc>
          <w:tcPr>
            <w:tcW w:w="5850" w:type="dxa"/>
          </w:tcPr>
          <w:p w:rsidR="004E519D" w:rsidRDefault="004E519D" w:rsidP="00C54EF0">
            <w:pPr>
              <w:pStyle w:val="NoSpacing"/>
            </w:pPr>
          </w:p>
        </w:tc>
        <w:tc>
          <w:tcPr>
            <w:tcW w:w="5580" w:type="dxa"/>
          </w:tcPr>
          <w:p w:rsidR="004E519D" w:rsidRDefault="004E519D" w:rsidP="00C54EF0">
            <w:pPr>
              <w:pStyle w:val="NoSpacing"/>
            </w:pPr>
          </w:p>
        </w:tc>
      </w:tr>
      <w:tr w:rsidR="004E519D">
        <w:trPr>
          <w:trHeight w:val="3456"/>
        </w:trPr>
        <w:tc>
          <w:tcPr>
            <w:tcW w:w="2965" w:type="dxa"/>
            <w:shd w:val="clear" w:color="auto" w:fill="DBEEF3"/>
          </w:tcPr>
          <w:p w:rsidR="004E519D" w:rsidRDefault="00B70DA0">
            <w:pPr>
              <w:numPr>
                <w:ilvl w:val="0"/>
                <w:numId w:val="1"/>
              </w:numPr>
              <w:pBdr>
                <w:top w:val="nil"/>
                <w:left w:val="nil"/>
                <w:bottom w:val="nil"/>
                <w:right w:val="nil"/>
                <w:between w:val="nil"/>
              </w:pBdr>
              <w:spacing w:line="259" w:lineRule="auto"/>
              <w:ind w:left="337"/>
            </w:pPr>
            <w:r>
              <w:rPr>
                <w:color w:val="000000"/>
              </w:rPr>
              <w:t>Core Standard:</w:t>
            </w:r>
          </w:p>
          <w:p w:rsidR="004E519D" w:rsidRDefault="00B70DA0">
            <w:pPr>
              <w:pBdr>
                <w:top w:val="nil"/>
                <w:left w:val="nil"/>
                <w:bottom w:val="nil"/>
                <w:right w:val="nil"/>
                <w:between w:val="nil"/>
              </w:pBdr>
              <w:spacing w:after="160" w:line="259" w:lineRule="auto"/>
              <w:ind w:left="337"/>
              <w:rPr>
                <w:color w:val="000000"/>
              </w:rPr>
            </w:pPr>
            <w:r>
              <w:rPr>
                <w:color w:val="000000"/>
              </w:rPr>
              <w:t>Mathematics</w:t>
            </w:r>
          </w:p>
        </w:tc>
        <w:tc>
          <w:tcPr>
            <w:tcW w:w="5850" w:type="dxa"/>
          </w:tcPr>
          <w:p w:rsidR="004E519D" w:rsidRDefault="004E519D" w:rsidP="00C54EF0">
            <w:pPr>
              <w:pStyle w:val="NoSpacing"/>
            </w:pPr>
          </w:p>
        </w:tc>
        <w:tc>
          <w:tcPr>
            <w:tcW w:w="5580" w:type="dxa"/>
          </w:tcPr>
          <w:p w:rsidR="004E519D" w:rsidRDefault="004E519D" w:rsidP="00C54EF0">
            <w:pPr>
              <w:pStyle w:val="NoSpacing"/>
            </w:pPr>
          </w:p>
        </w:tc>
      </w:tr>
      <w:tr w:rsidR="004E519D">
        <w:trPr>
          <w:trHeight w:val="3456"/>
        </w:trPr>
        <w:tc>
          <w:tcPr>
            <w:tcW w:w="2965" w:type="dxa"/>
            <w:shd w:val="clear" w:color="auto" w:fill="DBEEF3"/>
          </w:tcPr>
          <w:p w:rsidR="004E519D" w:rsidRDefault="00B70DA0">
            <w:pPr>
              <w:numPr>
                <w:ilvl w:val="0"/>
                <w:numId w:val="1"/>
              </w:numPr>
              <w:pBdr>
                <w:top w:val="nil"/>
                <w:left w:val="nil"/>
                <w:bottom w:val="nil"/>
                <w:right w:val="nil"/>
                <w:between w:val="nil"/>
              </w:pBdr>
              <w:spacing w:line="259" w:lineRule="auto"/>
              <w:ind w:left="337"/>
            </w:pPr>
            <w:r>
              <w:rPr>
                <w:color w:val="000000"/>
              </w:rPr>
              <w:lastRenderedPageBreak/>
              <w:t>Core Standard:</w:t>
            </w:r>
          </w:p>
          <w:p w:rsidR="004E519D" w:rsidRDefault="00B70DA0">
            <w:pPr>
              <w:pBdr>
                <w:top w:val="nil"/>
                <w:left w:val="nil"/>
                <w:bottom w:val="nil"/>
                <w:right w:val="nil"/>
                <w:between w:val="nil"/>
              </w:pBdr>
              <w:spacing w:after="160" w:line="259" w:lineRule="auto"/>
              <w:ind w:left="337"/>
              <w:rPr>
                <w:color w:val="000000"/>
              </w:rPr>
            </w:pPr>
            <w:r>
              <w:rPr>
                <w:color w:val="000000"/>
              </w:rPr>
              <w:t>Approaches to Learning &amp; Science</w:t>
            </w:r>
          </w:p>
        </w:tc>
        <w:tc>
          <w:tcPr>
            <w:tcW w:w="5850" w:type="dxa"/>
          </w:tcPr>
          <w:p w:rsidR="004E519D" w:rsidRDefault="004E519D" w:rsidP="00C54EF0">
            <w:pPr>
              <w:pStyle w:val="NoSpacing"/>
            </w:pPr>
          </w:p>
        </w:tc>
        <w:tc>
          <w:tcPr>
            <w:tcW w:w="5580" w:type="dxa"/>
          </w:tcPr>
          <w:p w:rsidR="004E519D" w:rsidRDefault="004E519D" w:rsidP="00C54EF0">
            <w:pPr>
              <w:pStyle w:val="NoSpacing"/>
            </w:pPr>
          </w:p>
        </w:tc>
      </w:tr>
      <w:tr w:rsidR="004E519D">
        <w:trPr>
          <w:trHeight w:val="3456"/>
        </w:trPr>
        <w:tc>
          <w:tcPr>
            <w:tcW w:w="2965" w:type="dxa"/>
            <w:shd w:val="clear" w:color="auto" w:fill="DBEEF3"/>
          </w:tcPr>
          <w:p w:rsidR="004E519D" w:rsidRDefault="00B70DA0">
            <w:pPr>
              <w:numPr>
                <w:ilvl w:val="0"/>
                <w:numId w:val="1"/>
              </w:numPr>
              <w:pBdr>
                <w:top w:val="nil"/>
                <w:left w:val="nil"/>
                <w:bottom w:val="nil"/>
                <w:right w:val="nil"/>
                <w:between w:val="nil"/>
              </w:pBdr>
              <w:spacing w:line="259" w:lineRule="auto"/>
              <w:ind w:left="337"/>
            </w:pPr>
            <w:r>
              <w:rPr>
                <w:color w:val="000000"/>
              </w:rPr>
              <w:t>Core Standard:</w:t>
            </w:r>
          </w:p>
          <w:p w:rsidR="004E519D" w:rsidRDefault="00B70DA0">
            <w:pPr>
              <w:pBdr>
                <w:top w:val="nil"/>
                <w:left w:val="nil"/>
                <w:bottom w:val="nil"/>
                <w:right w:val="nil"/>
                <w:between w:val="nil"/>
              </w:pBdr>
              <w:spacing w:after="160" w:line="259" w:lineRule="auto"/>
              <w:ind w:left="337"/>
              <w:rPr>
                <w:color w:val="000000"/>
              </w:rPr>
            </w:pPr>
            <w:r>
              <w:rPr>
                <w:color w:val="000000"/>
              </w:rPr>
              <w:t>Social/Emotional and Social Studies</w:t>
            </w:r>
          </w:p>
        </w:tc>
        <w:tc>
          <w:tcPr>
            <w:tcW w:w="5850" w:type="dxa"/>
          </w:tcPr>
          <w:p w:rsidR="004E519D" w:rsidRDefault="004E519D" w:rsidP="00C54EF0">
            <w:pPr>
              <w:pStyle w:val="NoSpacing"/>
            </w:pPr>
          </w:p>
        </w:tc>
        <w:tc>
          <w:tcPr>
            <w:tcW w:w="5580" w:type="dxa"/>
          </w:tcPr>
          <w:p w:rsidR="004E519D" w:rsidRDefault="004E519D" w:rsidP="00C54EF0">
            <w:pPr>
              <w:pStyle w:val="NoSpacing"/>
            </w:pPr>
          </w:p>
        </w:tc>
      </w:tr>
      <w:tr w:rsidR="004E519D">
        <w:trPr>
          <w:trHeight w:val="3456"/>
        </w:trPr>
        <w:tc>
          <w:tcPr>
            <w:tcW w:w="2965" w:type="dxa"/>
            <w:shd w:val="clear" w:color="auto" w:fill="DBEEF3"/>
          </w:tcPr>
          <w:p w:rsidR="004E519D" w:rsidRDefault="00B70DA0">
            <w:pPr>
              <w:numPr>
                <w:ilvl w:val="0"/>
                <w:numId w:val="1"/>
              </w:numPr>
              <w:pBdr>
                <w:top w:val="nil"/>
                <w:left w:val="nil"/>
                <w:bottom w:val="nil"/>
                <w:right w:val="nil"/>
                <w:between w:val="nil"/>
              </w:pBdr>
              <w:spacing w:line="259" w:lineRule="auto"/>
              <w:ind w:left="337"/>
              <w:rPr>
                <w:color w:val="000000"/>
              </w:rPr>
            </w:pPr>
            <w:r>
              <w:rPr>
                <w:color w:val="000000"/>
              </w:rPr>
              <w:t>Core Standard:</w:t>
            </w:r>
          </w:p>
          <w:p w:rsidR="004E519D" w:rsidRDefault="00B70DA0">
            <w:pPr>
              <w:pBdr>
                <w:top w:val="nil"/>
                <w:left w:val="nil"/>
                <w:bottom w:val="nil"/>
                <w:right w:val="nil"/>
                <w:between w:val="nil"/>
              </w:pBdr>
              <w:spacing w:after="160" w:line="259" w:lineRule="auto"/>
              <w:ind w:left="337"/>
              <w:rPr>
                <w:color w:val="000000"/>
              </w:rPr>
            </w:pPr>
            <w:r>
              <w:rPr>
                <w:color w:val="000000"/>
              </w:rPr>
              <w:t>Creative Arts</w:t>
            </w:r>
          </w:p>
        </w:tc>
        <w:tc>
          <w:tcPr>
            <w:tcW w:w="5850" w:type="dxa"/>
          </w:tcPr>
          <w:p w:rsidR="004E519D" w:rsidRDefault="004E519D" w:rsidP="00C54EF0">
            <w:pPr>
              <w:pStyle w:val="NoSpacing"/>
            </w:pPr>
          </w:p>
        </w:tc>
        <w:tc>
          <w:tcPr>
            <w:tcW w:w="5580" w:type="dxa"/>
          </w:tcPr>
          <w:p w:rsidR="004E519D" w:rsidRDefault="004E519D" w:rsidP="00C54EF0">
            <w:pPr>
              <w:pStyle w:val="NoSpacing"/>
            </w:pPr>
          </w:p>
        </w:tc>
      </w:tr>
      <w:tr w:rsidR="004E519D">
        <w:trPr>
          <w:trHeight w:val="3456"/>
        </w:trPr>
        <w:tc>
          <w:tcPr>
            <w:tcW w:w="2965" w:type="dxa"/>
            <w:shd w:val="clear" w:color="auto" w:fill="DBEEF3"/>
          </w:tcPr>
          <w:p w:rsidR="004E519D" w:rsidRDefault="00B70DA0">
            <w:pPr>
              <w:numPr>
                <w:ilvl w:val="0"/>
                <w:numId w:val="1"/>
              </w:numPr>
              <w:pBdr>
                <w:top w:val="nil"/>
                <w:left w:val="nil"/>
                <w:bottom w:val="nil"/>
                <w:right w:val="nil"/>
                <w:between w:val="nil"/>
              </w:pBdr>
              <w:spacing w:line="259" w:lineRule="auto"/>
              <w:ind w:left="337"/>
              <w:rPr>
                <w:color w:val="000000"/>
              </w:rPr>
            </w:pPr>
            <w:r>
              <w:rPr>
                <w:color w:val="000000"/>
              </w:rPr>
              <w:lastRenderedPageBreak/>
              <w:t>Core Standard:</w:t>
            </w:r>
          </w:p>
          <w:p w:rsidR="004E519D" w:rsidRDefault="00B70DA0">
            <w:pPr>
              <w:pBdr>
                <w:top w:val="nil"/>
                <w:left w:val="nil"/>
                <w:bottom w:val="nil"/>
                <w:right w:val="nil"/>
                <w:between w:val="nil"/>
              </w:pBdr>
              <w:spacing w:after="160" w:line="259" w:lineRule="auto"/>
              <w:ind w:left="337"/>
              <w:rPr>
                <w:color w:val="000000"/>
              </w:rPr>
            </w:pPr>
            <w:r>
              <w:rPr>
                <w:color w:val="000000"/>
              </w:rPr>
              <w:t>Physical/Health and Safety</w:t>
            </w:r>
          </w:p>
        </w:tc>
        <w:tc>
          <w:tcPr>
            <w:tcW w:w="5850" w:type="dxa"/>
          </w:tcPr>
          <w:p w:rsidR="004E519D" w:rsidRDefault="004E519D" w:rsidP="00C54EF0">
            <w:pPr>
              <w:pStyle w:val="NoSpacing"/>
            </w:pPr>
          </w:p>
        </w:tc>
        <w:tc>
          <w:tcPr>
            <w:tcW w:w="5580" w:type="dxa"/>
          </w:tcPr>
          <w:p w:rsidR="004E519D" w:rsidRDefault="004E519D" w:rsidP="00C54EF0">
            <w:pPr>
              <w:pStyle w:val="NoSpacing"/>
            </w:pPr>
          </w:p>
        </w:tc>
      </w:tr>
      <w:tr w:rsidR="004E519D">
        <w:trPr>
          <w:trHeight w:val="3456"/>
        </w:trPr>
        <w:tc>
          <w:tcPr>
            <w:tcW w:w="2965" w:type="dxa"/>
            <w:shd w:val="clear" w:color="auto" w:fill="DBEEF3"/>
          </w:tcPr>
          <w:p w:rsidR="004E519D" w:rsidRDefault="00B70DA0">
            <w:pPr>
              <w:numPr>
                <w:ilvl w:val="0"/>
                <w:numId w:val="1"/>
              </w:numPr>
              <w:pBdr>
                <w:top w:val="nil"/>
                <w:left w:val="nil"/>
                <w:bottom w:val="nil"/>
                <w:right w:val="nil"/>
                <w:between w:val="nil"/>
              </w:pBdr>
              <w:spacing w:after="160" w:line="256" w:lineRule="auto"/>
              <w:ind w:left="337"/>
              <w:rPr>
                <w:color w:val="000000"/>
              </w:rPr>
            </w:pPr>
            <w:r>
              <w:rPr>
                <w:color w:val="000000"/>
              </w:rPr>
              <w:t>Provider monitoring and ongoing professional learning and coaching.</w:t>
            </w:r>
            <w:r>
              <w:rPr>
                <w:color w:val="000000"/>
                <w:highlight w:val="white"/>
              </w:rPr>
              <w:t xml:space="preserve"> </w:t>
            </w:r>
          </w:p>
          <w:p w:rsidR="004E519D" w:rsidRDefault="004E519D">
            <w:pPr>
              <w:ind w:left="337"/>
            </w:pPr>
          </w:p>
        </w:tc>
        <w:tc>
          <w:tcPr>
            <w:tcW w:w="5850" w:type="dxa"/>
          </w:tcPr>
          <w:p w:rsidR="004E519D" w:rsidRDefault="004E519D" w:rsidP="00C54EF0">
            <w:pPr>
              <w:pStyle w:val="NoSpacing"/>
            </w:pPr>
          </w:p>
        </w:tc>
        <w:tc>
          <w:tcPr>
            <w:tcW w:w="5580" w:type="dxa"/>
          </w:tcPr>
          <w:p w:rsidR="004E519D" w:rsidRDefault="004E519D" w:rsidP="00C54EF0">
            <w:pPr>
              <w:pStyle w:val="NoSpacing"/>
            </w:pPr>
          </w:p>
        </w:tc>
      </w:tr>
      <w:tr w:rsidR="004E519D">
        <w:trPr>
          <w:trHeight w:val="3456"/>
        </w:trPr>
        <w:tc>
          <w:tcPr>
            <w:tcW w:w="2965" w:type="dxa"/>
            <w:shd w:val="clear" w:color="auto" w:fill="DBEEF3"/>
          </w:tcPr>
          <w:p w:rsidR="004E519D" w:rsidRDefault="00B70DA0">
            <w:pPr>
              <w:numPr>
                <w:ilvl w:val="0"/>
                <w:numId w:val="1"/>
              </w:numPr>
              <w:spacing w:after="160" w:line="256" w:lineRule="auto"/>
              <w:ind w:left="360"/>
            </w:pPr>
            <w:r>
              <w:t>Administer PEEP (Pre-Kindergarten Exit and Entry Profile) to each student.</w:t>
            </w:r>
          </w:p>
        </w:tc>
        <w:tc>
          <w:tcPr>
            <w:tcW w:w="5850" w:type="dxa"/>
          </w:tcPr>
          <w:p w:rsidR="004E519D" w:rsidRDefault="004E519D" w:rsidP="00C54EF0">
            <w:pPr>
              <w:pStyle w:val="NoSpacing"/>
            </w:pPr>
          </w:p>
        </w:tc>
        <w:tc>
          <w:tcPr>
            <w:tcW w:w="5580" w:type="dxa"/>
          </w:tcPr>
          <w:p w:rsidR="004E519D" w:rsidRDefault="004E519D" w:rsidP="00C54EF0">
            <w:pPr>
              <w:pStyle w:val="NoSpacing"/>
            </w:pPr>
          </w:p>
        </w:tc>
      </w:tr>
      <w:tr w:rsidR="004E519D">
        <w:trPr>
          <w:trHeight w:val="3456"/>
        </w:trPr>
        <w:tc>
          <w:tcPr>
            <w:tcW w:w="2965" w:type="dxa"/>
            <w:shd w:val="clear" w:color="auto" w:fill="DBEEF3"/>
          </w:tcPr>
          <w:p w:rsidR="004E519D" w:rsidRDefault="00B70DA0">
            <w:pPr>
              <w:numPr>
                <w:ilvl w:val="0"/>
                <w:numId w:val="1"/>
              </w:numPr>
              <w:pBdr>
                <w:top w:val="nil"/>
                <w:left w:val="nil"/>
                <w:bottom w:val="nil"/>
                <w:right w:val="nil"/>
                <w:between w:val="nil"/>
              </w:pBdr>
              <w:spacing w:after="160" w:line="256" w:lineRule="auto"/>
              <w:ind w:left="337"/>
              <w:rPr>
                <w:color w:val="000000"/>
              </w:rPr>
            </w:pPr>
            <w:r>
              <w:t>Pre-, mid-, and post SY 2021-2022 student assessment data. (</w:t>
            </w:r>
            <w:r>
              <w:rPr>
                <w:u w:val="single"/>
              </w:rPr>
              <w:t>Only needed if PEEP data is unavailable and not submitted.</w:t>
            </w:r>
            <w:r>
              <w:t>)</w:t>
            </w:r>
          </w:p>
        </w:tc>
        <w:tc>
          <w:tcPr>
            <w:tcW w:w="5850" w:type="dxa"/>
          </w:tcPr>
          <w:p w:rsidR="004E519D" w:rsidRDefault="004E519D" w:rsidP="00C54EF0">
            <w:pPr>
              <w:pStyle w:val="NoSpacing"/>
            </w:pPr>
          </w:p>
        </w:tc>
        <w:tc>
          <w:tcPr>
            <w:tcW w:w="5580" w:type="dxa"/>
          </w:tcPr>
          <w:p w:rsidR="004E519D" w:rsidRDefault="004E519D" w:rsidP="00C54EF0">
            <w:pPr>
              <w:pStyle w:val="NoSpacing"/>
            </w:pPr>
          </w:p>
        </w:tc>
      </w:tr>
      <w:tr w:rsidR="004E519D">
        <w:trPr>
          <w:trHeight w:val="3456"/>
        </w:trPr>
        <w:tc>
          <w:tcPr>
            <w:tcW w:w="2965" w:type="dxa"/>
            <w:shd w:val="clear" w:color="auto" w:fill="DBEEF3"/>
          </w:tcPr>
          <w:p w:rsidR="004E519D" w:rsidRDefault="00B70DA0">
            <w:pPr>
              <w:numPr>
                <w:ilvl w:val="0"/>
                <w:numId w:val="1"/>
              </w:numPr>
              <w:pBdr>
                <w:top w:val="nil"/>
                <w:left w:val="nil"/>
                <w:bottom w:val="nil"/>
                <w:right w:val="nil"/>
                <w:between w:val="nil"/>
              </w:pBdr>
              <w:spacing w:after="160" w:line="259" w:lineRule="auto"/>
              <w:ind w:left="337"/>
              <w:rPr>
                <w:color w:val="000000"/>
              </w:rPr>
            </w:pPr>
            <w:r>
              <w:rPr>
                <w:color w:val="000000"/>
              </w:rPr>
              <w:t>Classroom Teacher/Student Ratios (1:10)</w:t>
            </w:r>
          </w:p>
        </w:tc>
        <w:tc>
          <w:tcPr>
            <w:tcW w:w="5850" w:type="dxa"/>
          </w:tcPr>
          <w:p w:rsidR="004E519D" w:rsidRDefault="004E519D" w:rsidP="00C54EF0">
            <w:pPr>
              <w:pStyle w:val="NoSpacing"/>
            </w:pPr>
          </w:p>
        </w:tc>
        <w:tc>
          <w:tcPr>
            <w:tcW w:w="5580" w:type="dxa"/>
          </w:tcPr>
          <w:p w:rsidR="004E519D" w:rsidRDefault="004E519D" w:rsidP="00C54EF0">
            <w:pPr>
              <w:pStyle w:val="NoSpacing"/>
            </w:pPr>
          </w:p>
        </w:tc>
      </w:tr>
      <w:tr w:rsidR="004E519D">
        <w:trPr>
          <w:trHeight w:val="3456"/>
        </w:trPr>
        <w:tc>
          <w:tcPr>
            <w:tcW w:w="2965" w:type="dxa"/>
            <w:shd w:val="clear" w:color="auto" w:fill="DBEEF3"/>
          </w:tcPr>
          <w:p w:rsidR="004E519D" w:rsidRDefault="00B70DA0">
            <w:pPr>
              <w:numPr>
                <w:ilvl w:val="0"/>
                <w:numId w:val="1"/>
              </w:numPr>
              <w:pBdr>
                <w:top w:val="nil"/>
                <w:left w:val="nil"/>
                <w:bottom w:val="nil"/>
                <w:right w:val="nil"/>
                <w:between w:val="nil"/>
              </w:pBdr>
              <w:spacing w:after="160" w:line="259" w:lineRule="auto"/>
              <w:ind w:left="337"/>
              <w:rPr>
                <w:color w:val="000000"/>
              </w:rPr>
            </w:pPr>
            <w:r>
              <w:rPr>
                <w:color w:val="000000"/>
              </w:rPr>
              <w:t>Ongoing program evaluation and data collection to monitor program goal achievement and implementation of required program components.</w:t>
            </w:r>
          </w:p>
        </w:tc>
        <w:tc>
          <w:tcPr>
            <w:tcW w:w="5850" w:type="dxa"/>
          </w:tcPr>
          <w:p w:rsidR="004E519D" w:rsidRDefault="004E519D" w:rsidP="00C54EF0">
            <w:pPr>
              <w:pStyle w:val="NoSpacing"/>
            </w:pPr>
          </w:p>
        </w:tc>
        <w:tc>
          <w:tcPr>
            <w:tcW w:w="5580" w:type="dxa"/>
          </w:tcPr>
          <w:p w:rsidR="004E519D" w:rsidRDefault="004E519D" w:rsidP="00C54EF0">
            <w:pPr>
              <w:pStyle w:val="NoSpacing"/>
            </w:pPr>
          </w:p>
        </w:tc>
      </w:tr>
      <w:tr w:rsidR="004E519D">
        <w:trPr>
          <w:trHeight w:val="3456"/>
        </w:trPr>
        <w:tc>
          <w:tcPr>
            <w:tcW w:w="2965" w:type="dxa"/>
            <w:shd w:val="clear" w:color="auto" w:fill="DBEEF3"/>
          </w:tcPr>
          <w:p w:rsidR="004E519D" w:rsidRDefault="00B70DA0">
            <w:pPr>
              <w:numPr>
                <w:ilvl w:val="0"/>
                <w:numId w:val="1"/>
              </w:numPr>
              <w:pBdr>
                <w:top w:val="nil"/>
                <w:left w:val="nil"/>
                <w:bottom w:val="nil"/>
                <w:right w:val="nil"/>
                <w:between w:val="nil"/>
              </w:pBdr>
              <w:spacing w:after="160" w:line="259" w:lineRule="auto"/>
              <w:ind w:left="337"/>
              <w:rPr>
                <w:color w:val="000000"/>
              </w:rPr>
            </w:pPr>
            <w:r>
              <w:rPr>
                <w:color w:val="000000"/>
              </w:rPr>
              <w:t>Family engagement</w:t>
            </w:r>
          </w:p>
        </w:tc>
        <w:tc>
          <w:tcPr>
            <w:tcW w:w="5850" w:type="dxa"/>
          </w:tcPr>
          <w:p w:rsidR="004E519D" w:rsidRDefault="004E519D" w:rsidP="00C54EF0">
            <w:pPr>
              <w:pStyle w:val="NoSpacing"/>
            </w:pPr>
          </w:p>
        </w:tc>
        <w:tc>
          <w:tcPr>
            <w:tcW w:w="5580" w:type="dxa"/>
          </w:tcPr>
          <w:p w:rsidR="004E519D" w:rsidRDefault="004E519D" w:rsidP="00C54EF0">
            <w:pPr>
              <w:pStyle w:val="NoSpacing"/>
            </w:pPr>
          </w:p>
        </w:tc>
      </w:tr>
      <w:tr w:rsidR="004E519D">
        <w:trPr>
          <w:trHeight w:val="3456"/>
        </w:trPr>
        <w:tc>
          <w:tcPr>
            <w:tcW w:w="2965" w:type="dxa"/>
            <w:shd w:val="clear" w:color="auto" w:fill="DBEEF3"/>
          </w:tcPr>
          <w:p w:rsidR="004E519D" w:rsidRDefault="00B70DA0">
            <w:pPr>
              <w:numPr>
                <w:ilvl w:val="0"/>
                <w:numId w:val="1"/>
              </w:numPr>
              <w:pBdr>
                <w:top w:val="nil"/>
                <w:left w:val="nil"/>
                <w:bottom w:val="nil"/>
                <w:right w:val="nil"/>
                <w:between w:val="nil"/>
              </w:pBdr>
              <w:spacing w:after="160" w:line="259" w:lineRule="auto"/>
              <w:ind w:left="337"/>
              <w:rPr>
                <w:color w:val="000000"/>
              </w:rPr>
            </w:pPr>
            <w:r>
              <w:rPr>
                <w:color w:val="000000"/>
              </w:rPr>
              <w:t>Teacher Education (CDA/AD/BD)</w:t>
            </w:r>
          </w:p>
        </w:tc>
        <w:tc>
          <w:tcPr>
            <w:tcW w:w="5850" w:type="dxa"/>
          </w:tcPr>
          <w:p w:rsidR="004E519D" w:rsidRDefault="004E519D" w:rsidP="00C54EF0">
            <w:pPr>
              <w:pStyle w:val="NoSpacing"/>
            </w:pPr>
          </w:p>
        </w:tc>
        <w:tc>
          <w:tcPr>
            <w:tcW w:w="5580" w:type="dxa"/>
          </w:tcPr>
          <w:p w:rsidR="004E519D" w:rsidRDefault="004E519D" w:rsidP="00C54EF0">
            <w:pPr>
              <w:pStyle w:val="NoSpacing"/>
            </w:pPr>
          </w:p>
        </w:tc>
      </w:tr>
      <w:tr w:rsidR="004E519D">
        <w:trPr>
          <w:trHeight w:val="3456"/>
        </w:trPr>
        <w:tc>
          <w:tcPr>
            <w:tcW w:w="2965" w:type="dxa"/>
            <w:shd w:val="clear" w:color="auto" w:fill="DBEEF3"/>
          </w:tcPr>
          <w:p w:rsidR="004E519D" w:rsidRDefault="00B70DA0">
            <w:pPr>
              <w:numPr>
                <w:ilvl w:val="0"/>
                <w:numId w:val="1"/>
              </w:numPr>
              <w:pBdr>
                <w:top w:val="nil"/>
                <w:left w:val="nil"/>
                <w:bottom w:val="nil"/>
                <w:right w:val="nil"/>
                <w:between w:val="nil"/>
              </w:pBdr>
              <w:spacing w:after="160" w:line="256" w:lineRule="auto"/>
              <w:ind w:left="337"/>
              <w:rPr>
                <w:color w:val="000000"/>
              </w:rPr>
            </w:pPr>
            <w:r>
              <w:rPr>
                <w:color w:val="000000"/>
              </w:rPr>
              <w:t>Kindergarten transition plan</w:t>
            </w:r>
            <w:r>
              <w:rPr>
                <w:color w:val="000000"/>
                <w:highlight w:val="white"/>
              </w:rPr>
              <w:t xml:space="preserve"> </w:t>
            </w:r>
          </w:p>
        </w:tc>
        <w:tc>
          <w:tcPr>
            <w:tcW w:w="5850" w:type="dxa"/>
          </w:tcPr>
          <w:p w:rsidR="004E519D" w:rsidRDefault="004E519D" w:rsidP="00C54EF0">
            <w:pPr>
              <w:pStyle w:val="NoSpacing"/>
            </w:pPr>
          </w:p>
        </w:tc>
        <w:tc>
          <w:tcPr>
            <w:tcW w:w="5580" w:type="dxa"/>
          </w:tcPr>
          <w:p w:rsidR="004E519D" w:rsidRDefault="004E519D" w:rsidP="00C54EF0">
            <w:pPr>
              <w:pStyle w:val="NoSpacing"/>
            </w:pPr>
          </w:p>
        </w:tc>
      </w:tr>
      <w:tr w:rsidR="004E519D">
        <w:trPr>
          <w:trHeight w:val="3456"/>
        </w:trPr>
        <w:tc>
          <w:tcPr>
            <w:tcW w:w="2965" w:type="dxa"/>
            <w:shd w:val="clear" w:color="auto" w:fill="DBEEF3"/>
          </w:tcPr>
          <w:p w:rsidR="004E519D" w:rsidRPr="00C54EF0" w:rsidRDefault="00C54EF0" w:rsidP="00C54EF0">
            <w:pPr>
              <w:pBdr>
                <w:top w:val="nil"/>
                <w:left w:val="nil"/>
                <w:bottom w:val="nil"/>
                <w:right w:val="nil"/>
                <w:between w:val="nil"/>
              </w:pBdr>
              <w:shd w:val="clear" w:color="auto" w:fill="DAEEF3" w:themeFill="accent5" w:themeFillTint="33"/>
              <w:spacing w:line="256" w:lineRule="auto"/>
              <w:rPr>
                <w:color w:val="000000"/>
                <w:highlight w:val="white"/>
              </w:rPr>
            </w:pPr>
            <w:r>
              <w:rPr>
                <w:color w:val="000000"/>
              </w:rPr>
              <w:t>18.</w:t>
            </w:r>
            <w:r w:rsidR="00B70DA0" w:rsidRPr="00C54EF0">
              <w:rPr>
                <w:color w:val="000000"/>
              </w:rPr>
              <w:t>ECERS-3 Observation</w:t>
            </w:r>
            <w:r w:rsidR="00B70DA0" w:rsidRPr="00C54EF0">
              <w:rPr>
                <w:color w:val="000000"/>
                <w:highlight w:val="white"/>
              </w:rPr>
              <w:t xml:space="preserve"> </w:t>
            </w:r>
          </w:p>
        </w:tc>
        <w:tc>
          <w:tcPr>
            <w:tcW w:w="5850" w:type="dxa"/>
          </w:tcPr>
          <w:p w:rsidR="004E519D" w:rsidRDefault="004E519D" w:rsidP="00C54EF0">
            <w:pPr>
              <w:pStyle w:val="NoSpacing"/>
            </w:pPr>
          </w:p>
        </w:tc>
        <w:tc>
          <w:tcPr>
            <w:tcW w:w="5580" w:type="dxa"/>
          </w:tcPr>
          <w:p w:rsidR="004E519D" w:rsidRDefault="004E519D" w:rsidP="00C54EF0">
            <w:pPr>
              <w:pStyle w:val="NoSpacing"/>
            </w:pPr>
            <w:bookmarkStart w:id="1" w:name="_GoBack"/>
            <w:bookmarkEnd w:id="1"/>
          </w:p>
        </w:tc>
      </w:tr>
    </w:tbl>
    <w:p w:rsidR="004E519D" w:rsidRDefault="004E519D"/>
    <w:sectPr w:rsidR="004E519D">
      <w:footerReference w:type="default" r:id="rId11"/>
      <w:pgSz w:w="15840" w:h="12240" w:orient="landscape"/>
      <w:pgMar w:top="81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AAC" w:rsidRDefault="00B70DA0">
      <w:pPr>
        <w:spacing w:after="0" w:line="240" w:lineRule="auto"/>
      </w:pPr>
      <w:r>
        <w:separator/>
      </w:r>
    </w:p>
  </w:endnote>
  <w:endnote w:type="continuationSeparator" w:id="0">
    <w:p w:rsidR="00044AAC" w:rsidRDefault="00B70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19D" w:rsidRDefault="004E519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AAC" w:rsidRDefault="00B70DA0">
      <w:pPr>
        <w:spacing w:after="0" w:line="240" w:lineRule="auto"/>
      </w:pPr>
      <w:r>
        <w:separator/>
      </w:r>
    </w:p>
  </w:footnote>
  <w:footnote w:type="continuationSeparator" w:id="0">
    <w:p w:rsidR="00044AAC" w:rsidRDefault="00B70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91838"/>
    <w:multiLevelType w:val="multilevel"/>
    <w:tmpl w:val="A16E94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19D"/>
    <w:rsid w:val="00044AAC"/>
    <w:rsid w:val="002F1D09"/>
    <w:rsid w:val="004E519D"/>
    <w:rsid w:val="00B70DA0"/>
    <w:rsid w:val="00C54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6E951"/>
  <w15:docId w15:val="{F4E760DF-589F-44D3-AA50-CC9C0F23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B6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FE4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4B6A"/>
    <w:pPr>
      <w:ind w:left="720"/>
      <w:contextualSpacing/>
    </w:pPr>
  </w:style>
  <w:style w:type="character" w:styleId="CommentReference">
    <w:name w:val="annotation reference"/>
    <w:basedOn w:val="DefaultParagraphFont"/>
    <w:uiPriority w:val="99"/>
    <w:semiHidden/>
    <w:unhideWhenUsed/>
    <w:rsid w:val="005D3DAA"/>
    <w:rPr>
      <w:sz w:val="16"/>
      <w:szCs w:val="16"/>
    </w:rPr>
  </w:style>
  <w:style w:type="paragraph" w:styleId="CommentText">
    <w:name w:val="annotation text"/>
    <w:basedOn w:val="Normal"/>
    <w:link w:val="CommentTextChar"/>
    <w:uiPriority w:val="99"/>
    <w:semiHidden/>
    <w:unhideWhenUsed/>
    <w:rsid w:val="005D3DAA"/>
    <w:pPr>
      <w:spacing w:line="240" w:lineRule="auto"/>
    </w:pPr>
    <w:rPr>
      <w:sz w:val="20"/>
      <w:szCs w:val="20"/>
    </w:rPr>
  </w:style>
  <w:style w:type="character" w:customStyle="1" w:styleId="CommentTextChar">
    <w:name w:val="Comment Text Char"/>
    <w:basedOn w:val="DefaultParagraphFont"/>
    <w:link w:val="CommentText"/>
    <w:uiPriority w:val="99"/>
    <w:semiHidden/>
    <w:rsid w:val="005D3DAA"/>
    <w:rPr>
      <w:sz w:val="20"/>
      <w:szCs w:val="20"/>
    </w:rPr>
  </w:style>
  <w:style w:type="paragraph" w:styleId="CommentSubject">
    <w:name w:val="annotation subject"/>
    <w:basedOn w:val="CommentText"/>
    <w:next w:val="CommentText"/>
    <w:link w:val="CommentSubjectChar"/>
    <w:uiPriority w:val="99"/>
    <w:semiHidden/>
    <w:unhideWhenUsed/>
    <w:rsid w:val="005D3DAA"/>
    <w:rPr>
      <w:b/>
      <w:bCs/>
    </w:rPr>
  </w:style>
  <w:style w:type="character" w:customStyle="1" w:styleId="CommentSubjectChar">
    <w:name w:val="Comment Subject Char"/>
    <w:basedOn w:val="CommentTextChar"/>
    <w:link w:val="CommentSubject"/>
    <w:uiPriority w:val="99"/>
    <w:semiHidden/>
    <w:rsid w:val="005D3DAA"/>
    <w:rPr>
      <w:b/>
      <w:bCs/>
      <w:sz w:val="20"/>
      <w:szCs w:val="20"/>
    </w:rPr>
  </w:style>
  <w:style w:type="paragraph" w:styleId="BalloonText">
    <w:name w:val="Balloon Text"/>
    <w:basedOn w:val="Normal"/>
    <w:link w:val="BalloonTextChar"/>
    <w:uiPriority w:val="99"/>
    <w:semiHidden/>
    <w:unhideWhenUsed/>
    <w:rsid w:val="005D3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DAA"/>
    <w:rPr>
      <w:rFonts w:ascii="Segoe UI" w:hAnsi="Segoe UI" w:cs="Segoe UI"/>
      <w:sz w:val="18"/>
      <w:szCs w:val="18"/>
    </w:rPr>
  </w:style>
  <w:style w:type="paragraph" w:styleId="Header">
    <w:name w:val="header"/>
    <w:basedOn w:val="Normal"/>
    <w:link w:val="HeaderChar"/>
    <w:uiPriority w:val="99"/>
    <w:unhideWhenUsed/>
    <w:rsid w:val="00CD2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11A"/>
  </w:style>
  <w:style w:type="paragraph" w:styleId="Footer">
    <w:name w:val="footer"/>
    <w:basedOn w:val="Normal"/>
    <w:link w:val="FooterChar"/>
    <w:uiPriority w:val="99"/>
    <w:unhideWhenUsed/>
    <w:rsid w:val="00CD2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11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Spacing">
    <w:name w:val="No Spacing"/>
    <w:uiPriority w:val="1"/>
    <w:qFormat/>
    <w:rsid w:val="00C54E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SZ2c64sEvAAKQG+Sx54jI5oFuA==">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Moench</dc:creator>
  <cp:lastModifiedBy>Kimber Burks</cp:lastModifiedBy>
  <cp:revision>3</cp:revision>
  <dcterms:created xsi:type="dcterms:W3CDTF">2023-02-15T18:32:00Z</dcterms:created>
  <dcterms:modified xsi:type="dcterms:W3CDTF">2023-02-27T17:20:00Z</dcterms:modified>
</cp:coreProperties>
</file>